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Encryption Policy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Security Policy (`SECURITY.md`)</w:t>
      </w:r>
    </w:p>
    <w:p>
      <w:pPr>
        <w:pStyle w:val="ListParagraph"/>
        <w:numPr>
          <w:ilvl w:val="0"/>
          <w:numId w:val="1"/>
        </w:numPr>
      </w:pPr>
      <w:r>
        <w:t xml:space="preserve">Information Security Policy (`INFORMATION_SECURITY_POLICY.md`)</w:t>
      </w:r>
    </w:p>
    <w:p>
      <w:pPr>
        <w:pStyle w:val="ListParagraph"/>
        <w:numPr>
          <w:ilvl w:val="0"/>
          <w:numId w:val="1"/>
        </w:numPr>
      </w:pPr>
      <w:r>
        <w:t xml:space="preserve">Backup Policy (`BACKUP_POLICY.md`)</w:t>
      </w:r>
    </w:p>
    <w:p>
      <w:pPr>
        <w:pBdr>
          <w:bottom w:val="single" w:sz="6" w:space="1" w:color="999999"/>
        </w:pBdr>
      </w:pPr>
    </w:p>
    <w:p>
      <w:r>
        <w:t xml:space="preserve">This Encryption Policy defines the encryption requirements for data at rest, data in transit, and key management procedures for Acme Inc's nextjs-saas-example application. It supports compliance with GDPR Article 32, SOC 2 CC6.1, ISO 27001 Annex A.10, and PCI DSS Requirement 3 &amp; 4.</w:t>
      </w:r>
    </w:p>
    <w:p>
      <w:pPr>
        <w:pStyle w:val="Heading2"/>
      </w:pPr>
      <w:r>
        <w:t>1. Encryption at Rest</w:t>
      </w:r>
    </w:p>
    <w:p>
      <w:r>
        <w:t xml:space="preserve">All persistent data stores must encrypt data at rest using AES-256 or equivalent. The following table defines requirements per detected data store.</w:t>
      </w:r>
    </w:p>
    <w:p>
      <w:r>
        <w:rPr>
          <w:sz w:val="20"/>
        </w:rPr>
        <w:t xml:space="preserve">Data Store  |  Encryption Method  |  Recommendation  |  Key Type</w:t>
      </w:r>
    </w:p>
    <w:p>
      <w:pPr>
        <w:pStyle w:val="Heading3"/>
      </w:pPr>
      <w:r>
        <w:t>1.1 Encryption Requirements by Data Type</w:t>
      </w:r>
    </w:p>
    <w:p>
      <w:r>
        <w:rPr>
          <w:sz w:val="20"/>
        </w:rPr>
        <w:t xml:space="preserve">Data Type  |  Minimum Encryption  |  Additional Requirements</w:t>
      </w:r>
    </w:p>
    <w:p>
      <w:r>
        <w:rPr>
          <w:sz w:val="20"/>
        </w:rPr>
        <w:t xml:space="preserve">User credentials (passwords, tokens)  |  AES-256 + hashing (bcrypt/scrypt/argon2)  |  Never store plaintext; use one-way hash for passwords</w:t>
      </w:r>
    </w:p>
    <w:p>
      <w:r>
        <w:rPr>
          <w:sz w:val="20"/>
        </w:rPr>
        <w:t xml:space="preserve">Personal Identifiable Information (PII)  |  AES-256 at rest  |  Column-level encryption recommended; access logging required</w:t>
      </w:r>
    </w:p>
    <w:p>
      <w:r>
        <w:rPr>
          <w:sz w:val="20"/>
        </w:rPr>
        <w:t xml:space="preserve">Payment card data (PAN, CVV)  |  AES-256 + PCI DSS Req. 3  |  Never store CVV; tokenize PAN; use PCI-compliant processor</w:t>
      </w:r>
    </w:p>
    <w:p>
      <w:r>
        <w:rPr>
          <w:sz w:val="20"/>
        </w:rPr>
        <w:t xml:space="preserve">Financial transaction data  |  AES-256 at rest  |  Audit trail required; key rotation every 12 months</w:t>
      </w:r>
    </w:p>
    <w:p>
      <w:r>
        <w:rPr>
          <w:sz w:val="20"/>
        </w:rPr>
        <w:t xml:space="preserve">Session data  |  AES-256 at rest  |  Short TTL; encrypted cookies with Secure + HttpOnly flags</w:t>
      </w:r>
    </w:p>
    <w:p>
      <w:r>
        <w:rPr>
          <w:sz w:val="20"/>
        </w:rPr>
        <w:t xml:space="preserve">OAuth tokens  |  AES-256 at rest  |  Encrypt in database; never log token values</w:t>
      </w:r>
    </w:p>
    <w:p>
      <w:r>
        <w:rPr>
          <w:sz w:val="20"/>
        </w:rPr>
        <w:t xml:space="preserve">AI training data / prompts  |  AES-256 at rest  |  Data minimization; purpose limitation per AI provider DPA</w:t>
      </w:r>
    </w:p>
    <w:p>
      <w:r>
        <w:rPr>
          <w:sz w:val="20"/>
        </w:rPr>
        <w:t xml:space="preserve">Audit logs  |  AES-256 at rest  |  Immutable storage recommended; integrity verification</w:t>
      </w:r>
    </w:p>
    <w:p>
      <w:r>
        <w:rPr>
          <w:sz w:val="20"/>
        </w:rPr>
        <w:t xml:space="preserve">Backups  |  AES-256 at rest  |  Encrypted independently of source; separate key from primary</w:t>
      </w:r>
    </w:p>
    <w:p>
      <w:pPr>
        <w:pStyle w:val="Heading2"/>
      </w:pPr>
      <w:r>
        <w:t>2. Encryption in Transit</w:t>
      </w:r>
    </w:p>
    <w:p>
      <w:r>
        <w:t xml:space="preserve">All data transmitted over a network must be encrypted using TLS 1.2 or higher. TLS 1.3 is recommended for all new deployments.</w:t>
      </w:r>
    </w:p>
    <w:p>
      <w:pPr>
        <w:pStyle w:val="Heading3"/>
      </w:pPr>
      <w:r>
        <w:t>2.1 TLS Configuration Requirements</w:t>
      </w:r>
    </w:p>
    <w:p>
      <w:r>
        <w:rPr>
          <w:sz w:val="20"/>
        </w:rPr>
        <w:t xml:space="preserve">Requirement  |  Minimum  |  Recommended</w:t>
      </w:r>
    </w:p>
    <w:p>
      <w:r>
        <w:rPr>
          <w:sz w:val="20"/>
        </w:rPr>
        <w:t xml:space="preserve">TLS version  |  TLS 1.2  |  TLS 1.3</w:t>
      </w:r>
    </w:p>
    <w:p>
      <w:r>
        <w:rPr>
          <w:sz w:val="20"/>
        </w:rPr>
        <w:t xml:space="preserve">Certificate type  |  Domain Validated (DV)  |  Organization Validated (OV) or Extended Validation (EV)</w:t>
      </w:r>
    </w:p>
    <w:p>
      <w:r>
        <w:rPr>
          <w:sz w:val="20"/>
        </w:rPr>
        <w:t xml:space="preserve">Certificate authority  |  Trusted public CA  |  Trusted public CA with Certificate Transparency</w:t>
      </w:r>
    </w:p>
    <w:p>
      <w:r>
        <w:rPr>
          <w:sz w:val="20"/>
        </w:rPr>
        <w:t xml:space="preserve">Cipher suites  |  AEAD ciphers only  |  TLS_AES_256_GCM_SHA384, TLS_CHACHA20_POLY1305_SHA256</w:t>
      </w:r>
    </w:p>
    <w:p>
      <w:r>
        <w:rPr>
          <w:sz w:val="20"/>
        </w:rPr>
        <w:t xml:space="preserve">HSTS  |  Enabled  |  max-age=31536000; includeSubDomains; preload</w:t>
      </w:r>
    </w:p>
    <w:p>
      <w:r>
        <w:rPr>
          <w:sz w:val="20"/>
        </w:rPr>
        <w:t xml:space="preserve">Certificate pinning  |  Optional  |  Recommended for mobile apps and high-security APIs</w:t>
      </w:r>
    </w:p>
    <w:p>
      <w:pPr>
        <w:pStyle w:val="Heading3"/>
      </w:pPr>
      <w:r>
        <w:t>2.2 In-Transit Requirements by Connection Type</w:t>
      </w:r>
    </w:p>
    <w:p>
      <w:r>
        <w:rPr>
          <w:sz w:val="20"/>
        </w:rPr>
        <w:t xml:space="preserve">Connection  |  Requirement  |  Verification</w:t>
      </w:r>
    </w:p>
    <w:p>
      <w:r>
        <w:rPr>
          <w:sz w:val="20"/>
        </w:rPr>
        <w:t xml:space="preserve">Browser to application  |  TLS 1.2+ (HTTPS enforced)  |  HSTS header; redirect HTTP to HTTPS</w:t>
      </w:r>
    </w:p>
    <w:p>
      <w:r>
        <w:rPr>
          <w:sz w:val="20"/>
        </w:rPr>
        <w:t xml:space="preserve">Application to database  |  TLS 1.2+ (verify-full mode recommended)  |  Connection string parameter; certificate validation</w:t>
      </w:r>
    </w:p>
    <w:p>
      <w:r>
        <w:rPr>
          <w:sz w:val="20"/>
        </w:rPr>
        <w:t xml:space="preserve">Application to third-party APIs  |  TLS 1.2+  |  Certificate validation; no self-signed certs in production</w:t>
      </w:r>
    </w:p>
    <w:p>
      <w:r>
        <w:rPr>
          <w:sz w:val="20"/>
        </w:rPr>
        <w:t xml:space="preserve">Internal service-to-service  |  TLS 1.2+ or mTLS  |  Mutual TLS for zero-trust architecture</w:t>
      </w:r>
    </w:p>
    <w:p>
      <w:r>
        <w:rPr>
          <w:sz w:val="20"/>
        </w:rPr>
        <w:t xml:space="preserve">Backup transfers  |  TLS 1.2+ or encrypted tunnel (VPN/SSH)  |  Encrypted before transfer; verify at destination</w:t>
      </w:r>
    </w:p>
    <w:p>
      <w:r>
        <w:rPr>
          <w:sz w:val="20"/>
        </w:rPr>
        <w:t xml:space="preserve">Payment processor communication  |  TLS 1.2+ (PCI DSS Req. 4)  |  PCI-validated endpoint; no fallback to HTTP</w:t>
      </w:r>
    </w:p>
    <w:p>
      <w:r>
        <w:rPr>
          <w:sz w:val="20"/>
        </w:rPr>
        <w:t xml:space="preserve">AI service API calls  |  TLS 1.2+  |  Verify AI provider certificate; do not disable certificate validation</w:t>
      </w:r>
    </w:p>
    <w:p>
      <w:pPr>
        <w:pStyle w:val="Heading2"/>
      </w:pPr>
      <w:r>
        <w:t>3. Key Management Procedures</w:t>
      </w:r>
    </w:p>
    <w:p>
      <w:pPr>
        <w:pStyle w:val="Heading3"/>
      </w:pPr>
      <w:r>
        <w:t>3.1 Key Lifecycle</w:t>
      </w:r>
    </w:p>
    <w:p>
      <w:r>
        <w:rPr>
          <w:sz w:val="20"/>
        </w:rPr>
        <w:t xml:space="preserve">Phase  |  Requirement  |  Responsibility</w:t>
      </w:r>
    </w:p>
    <w:p>
      <w:r>
        <w:rPr>
          <w:sz w:val="20"/>
        </w:rPr>
        <w:t xml:space="preserve">Generation  |  Use cryptographically secure random number generators (CSPRNG)  |  Security team</w:t>
      </w:r>
    </w:p>
    <w:p>
      <w:r>
        <w:rPr>
          <w:sz w:val="20"/>
        </w:rPr>
        <w:t xml:space="preserve">Storage  |  Keys must never be stored in source code, logs, or plaintext config files  |  Engineering team</w:t>
      </w:r>
    </w:p>
    <w:p>
      <w:r>
        <w:rPr>
          <w:sz w:val="20"/>
        </w:rPr>
        <w:t xml:space="preserve">Distribution  |  Use secure channels (KMS API, encrypted transfer)  |  Security team</w:t>
      </w:r>
    </w:p>
    <w:p>
      <w:r>
        <w:rPr>
          <w:sz w:val="20"/>
        </w:rPr>
        <w:t xml:space="preserve">Rotation  |  Rotate encryption keys on a defined schedule (see 3.2)  |  Security team + automation</w:t>
      </w:r>
    </w:p>
    <w:p>
      <w:r>
        <w:rPr>
          <w:sz w:val="20"/>
        </w:rPr>
        <w:t xml:space="preserve">Revocation  |  Immediately revoke compromised keys; re-encrypt affected data  |  Incident response team</w:t>
      </w:r>
    </w:p>
    <w:p>
      <w:r>
        <w:rPr>
          <w:sz w:val="20"/>
        </w:rPr>
        <w:t xml:space="preserve">Destruction  |  Securely destroy retired keys after retention period  |  Security team</w:t>
      </w:r>
    </w:p>
    <w:p>
      <w:pPr>
        <w:pStyle w:val="Heading3"/>
      </w:pPr>
      <w:r>
        <w:t>3.2 Key Rotation Schedule</w:t>
      </w:r>
    </w:p>
    <w:p>
      <w:r>
        <w:rPr>
          <w:sz w:val="20"/>
        </w:rPr>
        <w:t xml:space="preserve">Key Type  |  Rotation Frequency  |  Trigger for Immediate Rotation</w:t>
      </w:r>
    </w:p>
    <w:p>
      <w:r>
        <w:rPr>
          <w:sz w:val="20"/>
        </w:rPr>
        <w:t xml:space="preserve">Database encryption keys  |  Every 12 months  |  Key compromise, personnel departure</w:t>
      </w:r>
    </w:p>
    <w:p>
      <w:r>
        <w:rPr>
          <w:sz w:val="20"/>
        </w:rPr>
        <w:t xml:space="preserve">TLS certificates  |  Before expiry (auto-renew via ACME/Let's Encrypt)  |  Certificate compromise</w:t>
      </w:r>
    </w:p>
    <w:p>
      <w:r>
        <w:rPr>
          <w:sz w:val="20"/>
        </w:rPr>
        <w:t xml:space="preserve">API keys and secrets  |  Every 90 days  |  Key exposure in logs, code, or breach</w:t>
      </w:r>
    </w:p>
    <w:p>
      <w:r>
        <w:rPr>
          <w:sz w:val="20"/>
        </w:rPr>
        <w:t xml:space="preserve">Session signing keys  |  Every 30 days  |  Suspected session hijacking</w:t>
      </w:r>
    </w:p>
    <w:p>
      <w:r>
        <w:rPr>
          <w:sz w:val="20"/>
        </w:rPr>
        <w:t xml:space="preserve">Backup encryption keys  |  Every 12 months  |  Backup key compromise</w:t>
      </w:r>
    </w:p>
    <w:p>
      <w:r>
        <w:rPr>
          <w:sz w:val="20"/>
        </w:rPr>
        <w:t xml:space="preserve">Payment encryption keys  |  Every 12 months (PCI DSS Req. 3.6)  |  Key compromise; personnel with key knowledge leaves</w:t>
      </w:r>
    </w:p>
    <w:p>
      <w:pPr>
        <w:pStyle w:val="Heading3"/>
      </w:pPr>
      <w:r>
        <w:t>3.3 Key Storage Requirements</w:t>
      </w:r>
    </w:p>
    <w:p>
      <w:r>
        <w:t xml:space="preserve">Keys must be stored using one of the following approved methods:</w:t>
      </w:r>
    </w:p>
    <w:p>
      <w:pPr>
        <w:pStyle w:val="ListParagraph"/>
        <w:numPr>
          <w:ilvl w:val="0"/>
          <w:numId w:val="2"/>
        </w:numPr>
      </w:pPr>
      <w:r>
        <w:t xml:space="preserve">**Cloud Key Management Service (KMS)** — AWS KMS, GCP KMS, Azure Key Vault</w:t>
      </w:r>
    </w:p>
    <w:p>
      <w:pPr>
        <w:pStyle w:val="ListParagraph"/>
        <w:numPr>
          <w:ilvl w:val="0"/>
          <w:numId w:val="2"/>
        </w:numPr>
      </w:pPr>
      <w:r>
        <w:t xml:space="preserve">**Hardware Security Module (HSM)** — For highest-assurance requirements</w:t>
      </w:r>
    </w:p>
    <w:p>
      <w:pPr>
        <w:pStyle w:val="ListParagraph"/>
        <w:numPr>
          <w:ilvl w:val="0"/>
          <w:numId w:val="2"/>
        </w:numPr>
      </w:pPr>
      <w:r>
        <w:t xml:space="preserve">**Secrets Manager** — AWS Secrets Manager, GCP Secret Manager, HashiCorp Vault</w:t>
      </w:r>
    </w:p>
    <w:p>
      <w:pPr>
        <w:pStyle w:val="ListParagraph"/>
        <w:numPr>
          <w:ilvl w:val="0"/>
          <w:numId w:val="2"/>
        </w:numPr>
      </w:pPr>
      <w:r>
        <w:t xml:space="preserve">**Environment variables** — Acceptable for non-sensitive keys in development only</w:t>
      </w:r>
    </w:p>
    <w:p>
      <w:r>
        <w:t xml:space="preserve">Prohibited key storage:</w:t>
      </w:r>
    </w:p>
    <w:p>
      <w:pPr>
        <w:pStyle w:val="ListParagraph"/>
        <w:numPr>
          <w:ilvl w:val="0"/>
          <w:numId w:val="1"/>
        </w:numPr>
      </w:pPr>
      <w:r>
        <w:t xml:space="preserve">Source code repositories (even private repos)</w:t>
      </w:r>
    </w:p>
    <w:p>
      <w:pPr>
        <w:pStyle w:val="ListParagraph"/>
        <w:numPr>
          <w:ilvl w:val="0"/>
          <w:numId w:val="1"/>
        </w:numPr>
      </w:pPr>
      <w:r>
        <w:t xml:space="preserve">Unencrypted configuration files</w:t>
      </w:r>
    </w:p>
    <w:p>
      <w:pPr>
        <w:pStyle w:val="ListParagraph"/>
        <w:numPr>
          <w:ilvl w:val="0"/>
          <w:numId w:val="1"/>
        </w:numPr>
      </w:pPr>
      <w:r>
        <w:t xml:space="preserve">Application logs</w:t>
      </w:r>
    </w:p>
    <w:p>
      <w:pPr>
        <w:pStyle w:val="ListParagraph"/>
        <w:numPr>
          <w:ilvl w:val="0"/>
          <w:numId w:val="1"/>
        </w:numPr>
      </w:pPr>
      <w:r>
        <w:t xml:space="preserve">Email, chat, or shared documents</w:t>
      </w:r>
    </w:p>
    <w:p>
      <w:pPr>
        <w:pStyle w:val="ListParagraph"/>
        <w:numPr>
          <w:ilvl w:val="0"/>
          <w:numId w:val="1"/>
        </w:numPr>
      </w:pPr>
      <w:r>
        <w:t xml:space="preserve">Client-side code or mobile app bundles</w:t>
      </w:r>
    </w:p>
    <w:p>
      <w:pPr>
        <w:pStyle w:val="Heading2"/>
      </w:pPr>
      <w:r>
        <w:t>4. Compliance Mapping</w:t>
      </w:r>
    </w:p>
    <w:p>
      <w:r>
        <w:rPr>
          <w:sz w:val="20"/>
        </w:rPr>
        <w:t xml:space="preserve">Regulation  |  Requirement  |  This Policy Section</w:t>
      </w:r>
    </w:p>
    <w:p>
      <w:r>
        <w:rPr>
          <w:sz w:val="20"/>
        </w:rPr>
        <w:t xml:space="preserve">GDPR Article 32  |  Encryption of personal data  |  Sections 1, 2</w:t>
      </w:r>
    </w:p>
    <w:p>
      <w:r>
        <w:rPr>
          <w:sz w:val="20"/>
        </w:rPr>
        <w:t xml:space="preserve">SOC 2 CC6.1  |  Logical and physical access controls including encryption  |  Sections 1, 2, 3</w:t>
      </w:r>
    </w:p>
    <w:p>
      <w:r>
        <w:rPr>
          <w:sz w:val="20"/>
        </w:rPr>
        <w:t xml:space="preserve">ISO 27001 A.10  |  Cryptographic controls  |  Sections 1, 2, 3</w:t>
      </w:r>
    </w:p>
    <w:p>
      <w:r>
        <w:rPr>
          <w:sz w:val="20"/>
        </w:rPr>
        <w:t xml:space="preserve">PCI DSS Req. 3  |  Protect stored cardholder data  |  Section 1</w:t>
      </w:r>
    </w:p>
    <w:p>
      <w:r>
        <w:rPr>
          <w:sz w:val="20"/>
        </w:rPr>
        <w:t xml:space="preserve">PCI DSS Req. 4  |  Encrypt transmission of cardholder data  |  Section 2</w:t>
      </w:r>
    </w:p>
    <w:p>
      <w:r>
        <w:rPr>
          <w:sz w:val="20"/>
        </w:rPr>
        <w:t xml:space="preserve">NIST SP 800-111  |  Guide to storage encryption  |  Section 1</w:t>
      </w:r>
    </w:p>
    <w:p>
      <w:r>
        <w:rPr>
          <w:sz w:val="20"/>
        </w:rPr>
        <w:t xml:space="preserve">NIST SP 800-52  |  TLS implementation guidelines  |  Section 2</w:t>
      </w:r>
    </w:p>
    <w:p>
      <w:pPr>
        <w:pStyle w:val="Heading2"/>
      </w:pPr>
      <w:r>
        <w:t>5. Policy Review</w:t>
      </w:r>
    </w:p>
    <w:p>
      <w:r>
        <w:t xml:space="preserve">This encryption policy must be reviewed:</w:t>
      </w:r>
    </w:p>
    <w:p>
      <w:pPr>
        <w:pStyle w:val="ListParagraph"/>
        <w:numPr>
          <w:ilvl w:val="0"/>
          <w:numId w:val="1"/>
        </w:numPr>
      </w:pPr>
      <w:r>
        <w:t xml:space="preserve">At minimum **annually**</w:t>
      </w:r>
    </w:p>
    <w:p>
      <w:pPr>
        <w:pStyle w:val="ListParagraph"/>
        <w:numPr>
          <w:ilvl w:val="0"/>
          <w:numId w:val="1"/>
        </w:numPr>
      </w:pPr>
      <w:r>
        <w:t xml:space="preserve">When new data stores or cloud services are added</w:t>
      </w:r>
    </w:p>
    <w:p>
      <w:pPr>
        <w:pStyle w:val="ListParagraph"/>
        <w:numPr>
          <w:ilvl w:val="0"/>
          <w:numId w:val="1"/>
        </w:numPr>
      </w:pPr>
      <w:r>
        <w:t xml:space="preserve">After any security incident involving data exposure</w:t>
      </w:r>
    </w:p>
    <w:p>
      <w:pPr>
        <w:pStyle w:val="ListParagraph"/>
        <w:numPr>
          <w:ilvl w:val="0"/>
          <w:numId w:val="1"/>
        </w:numPr>
      </w:pPr>
      <w:r>
        <w:t xml:space="preserve">When regulatory requirements change</w:t>
      </w:r>
    </w:p>
    <w:p>
      <w:r>
        <w:t xml:space="preserve">For questions about this policy, contact legal@acme.com.</w:t>
      </w:r>
    </w:p>
    <w:p>
      <w:pPr>
        <w:pBdr>
          <w:bottom w:val="single" w:sz="6" w:space="1" w:color="999999"/>
        </w:pBdr>
      </w:pPr>
    </w:p>
    <w:p>
      <w:r>
        <w:t xml:space="preserve">This Encryption Policy was generated by [Codepliant](https://github.com/joechensmartz/codepliant) based on an automated scan of the nextjs-saas-example codebase. It should be reviewed by your security and engineering teams and customized to reflect your actual encryption implementation.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